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BA" w:rsidRPr="001103C2" w:rsidRDefault="007567BA" w:rsidP="00B6415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103C2">
        <w:rPr>
          <w:rFonts w:ascii="Times New Roman" w:eastAsia="Calibri" w:hAnsi="Times New Roman" w:cs="Times New Roman"/>
          <w:b/>
          <w:bCs/>
          <w:sz w:val="27"/>
          <w:szCs w:val="27"/>
        </w:rPr>
        <w:t>Аналитическая записка</w:t>
      </w:r>
    </w:p>
    <w:p w:rsidR="007567BA" w:rsidRPr="001103C2" w:rsidRDefault="007567BA" w:rsidP="00B6415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103C2">
        <w:rPr>
          <w:rFonts w:ascii="Times New Roman" w:eastAsia="Calibri" w:hAnsi="Times New Roman" w:cs="Times New Roman"/>
          <w:b/>
          <w:bCs/>
          <w:sz w:val="27"/>
          <w:szCs w:val="27"/>
        </w:rPr>
        <w:t>о состоянии и проблемах законотворчества</w:t>
      </w:r>
    </w:p>
    <w:p w:rsidR="007567BA" w:rsidRPr="001103C2" w:rsidRDefault="007567BA" w:rsidP="00B64156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70536" w:rsidRPr="001103C2" w:rsidRDefault="007567BA" w:rsidP="00B64156">
      <w:pPr>
        <w:tabs>
          <w:tab w:val="left" w:pos="7893"/>
        </w:tabs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№ 13</w:t>
      </w:r>
      <w:r w:rsidR="00B64156" w:rsidRPr="001103C2">
        <w:rPr>
          <w:rFonts w:ascii="Times New Roman" w:hAnsi="Times New Roman" w:cs="Times New Roman"/>
          <w:sz w:val="27"/>
          <w:szCs w:val="27"/>
        </w:rPr>
        <w:t>1</w:t>
      </w:r>
      <w:r w:rsidRPr="001103C2">
        <w:rPr>
          <w:rFonts w:ascii="Times New Roman" w:hAnsi="Times New Roman" w:cs="Times New Roman"/>
          <w:sz w:val="27"/>
          <w:szCs w:val="27"/>
        </w:rPr>
        <w:t xml:space="preserve">        </w:t>
      </w:r>
      <w:r w:rsidR="00D53C1E" w:rsidRPr="001103C2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1103C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5F043F" w:rsidRPr="001103C2">
        <w:rPr>
          <w:rFonts w:ascii="Times New Roman" w:hAnsi="Times New Roman" w:cs="Times New Roman"/>
          <w:sz w:val="27"/>
          <w:szCs w:val="27"/>
        </w:rPr>
        <w:t xml:space="preserve">      </w:t>
      </w:r>
      <w:r w:rsidR="00D53C1E" w:rsidRPr="001103C2">
        <w:rPr>
          <w:rFonts w:ascii="Times New Roman" w:hAnsi="Times New Roman" w:cs="Times New Roman"/>
          <w:sz w:val="27"/>
          <w:szCs w:val="27"/>
        </w:rPr>
        <w:t xml:space="preserve">   </w:t>
      </w:r>
      <w:r w:rsidR="001103C2" w:rsidRPr="001103C2">
        <w:rPr>
          <w:rFonts w:ascii="Times New Roman" w:hAnsi="Times New Roman" w:cs="Times New Roman"/>
          <w:sz w:val="27"/>
          <w:szCs w:val="27"/>
        </w:rPr>
        <w:t xml:space="preserve">     о</w:t>
      </w:r>
      <w:r w:rsidR="00B64156" w:rsidRPr="001103C2">
        <w:rPr>
          <w:rFonts w:ascii="Times New Roman" w:hAnsi="Times New Roman" w:cs="Times New Roman"/>
          <w:sz w:val="27"/>
          <w:szCs w:val="27"/>
        </w:rPr>
        <w:t>к</w:t>
      </w:r>
      <w:r w:rsidRPr="001103C2">
        <w:rPr>
          <w:rFonts w:ascii="Times New Roman" w:hAnsi="Times New Roman" w:cs="Times New Roman"/>
          <w:sz w:val="27"/>
          <w:szCs w:val="27"/>
        </w:rPr>
        <w:t>тябрь 2015</w:t>
      </w:r>
    </w:p>
    <w:p w:rsidR="00B64156" w:rsidRPr="001103C2" w:rsidRDefault="00B64156" w:rsidP="00065710">
      <w:pPr>
        <w:spacing w:after="0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CD2170" w:rsidRPr="001103C2" w:rsidRDefault="00CD2170" w:rsidP="00B6415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170" w:rsidRPr="001103C2" w:rsidRDefault="00CD2170" w:rsidP="00CD217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03C2">
        <w:rPr>
          <w:rFonts w:ascii="Times New Roman" w:hAnsi="Times New Roman" w:cs="Times New Roman"/>
          <w:b/>
          <w:sz w:val="27"/>
          <w:szCs w:val="27"/>
        </w:rPr>
        <w:t>В Совете Федерации обсудили перспективы системы государственного и муниципального контроля и надзора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16 октября в Совете Федерации с участием ТПП РФ состоялись парламентские слушания на тему «Проблемы законодательного регулирования государственного контроля (надзора) и муниципального контроля». В них приняли участие </w:t>
      </w:r>
      <w:r w:rsidR="00176EC7" w:rsidRPr="001103C2">
        <w:rPr>
          <w:rFonts w:ascii="Times New Roman" w:hAnsi="Times New Roman" w:cs="Times New Roman"/>
          <w:sz w:val="27"/>
          <w:szCs w:val="27"/>
        </w:rPr>
        <w:t>П</w:t>
      </w:r>
      <w:r w:rsidRPr="001103C2">
        <w:rPr>
          <w:rFonts w:ascii="Times New Roman" w:hAnsi="Times New Roman" w:cs="Times New Roman"/>
          <w:sz w:val="27"/>
          <w:szCs w:val="27"/>
        </w:rPr>
        <w:t xml:space="preserve">редседатель Комитета Совета Федерации по федеративному устройству, региональной политике, местному самоуправлению и делам Севера Д.И. Азаров, Министр РФ М.А. 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Абызов</w:t>
      </w:r>
      <w:proofErr w:type="spellEnd"/>
      <w:r w:rsidRPr="001103C2">
        <w:rPr>
          <w:rFonts w:ascii="Times New Roman" w:hAnsi="Times New Roman" w:cs="Times New Roman"/>
          <w:sz w:val="27"/>
          <w:szCs w:val="27"/>
        </w:rPr>
        <w:t>, статс-секретарь – заместитель М</w:t>
      </w:r>
      <w:r w:rsidR="001103C2">
        <w:rPr>
          <w:rFonts w:ascii="Times New Roman" w:hAnsi="Times New Roman" w:cs="Times New Roman"/>
          <w:sz w:val="27"/>
          <w:szCs w:val="27"/>
        </w:rPr>
        <w:t xml:space="preserve">инистра экономического развития </w:t>
      </w:r>
      <w:r w:rsidRPr="001103C2">
        <w:rPr>
          <w:rFonts w:ascii="Times New Roman" w:hAnsi="Times New Roman" w:cs="Times New Roman"/>
          <w:sz w:val="27"/>
          <w:szCs w:val="27"/>
        </w:rPr>
        <w:t>О.В. Фомичев, представители контрольно-надзорных органов, ведущих бизнес - объединений и регионов России.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Открывая слушания, Д.И. Азаров отметил, что в 2015 году был введен мораторий на проверки субъектов малого и среднего бизнеса, запущен </w:t>
      </w:r>
      <w:r w:rsidR="00176EC7" w:rsidRPr="001103C2">
        <w:rPr>
          <w:rFonts w:ascii="Times New Roman" w:hAnsi="Times New Roman" w:cs="Times New Roman"/>
          <w:sz w:val="27"/>
          <w:szCs w:val="27"/>
        </w:rPr>
        <w:t>единый реестр проверок, но в то</w:t>
      </w:r>
      <w:r w:rsidRPr="001103C2">
        <w:rPr>
          <w:rFonts w:ascii="Times New Roman" w:hAnsi="Times New Roman" w:cs="Times New Roman"/>
          <w:sz w:val="27"/>
          <w:szCs w:val="27"/>
        </w:rPr>
        <w:t>же время отсутствует утвержденная на государственном уровне концепция или план развития и реформирования контрольно-надзорной деятельности государства.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О.В. Фомичев указал, что</w:t>
      </w:r>
      <w:r w:rsidR="00065710">
        <w:rPr>
          <w:rFonts w:ascii="Times New Roman" w:hAnsi="Times New Roman" w:cs="Times New Roman"/>
          <w:sz w:val="27"/>
          <w:szCs w:val="27"/>
        </w:rPr>
        <w:t>,</w:t>
      </w:r>
      <w:r w:rsidRPr="001103C2">
        <w:rPr>
          <w:rFonts w:ascii="Times New Roman" w:hAnsi="Times New Roman" w:cs="Times New Roman"/>
          <w:sz w:val="27"/>
          <w:szCs w:val="27"/>
        </w:rPr>
        <w:t xml:space="preserve"> по данным опросов</w:t>
      </w:r>
      <w:r w:rsidR="00065710">
        <w:rPr>
          <w:rFonts w:ascii="Times New Roman" w:hAnsi="Times New Roman" w:cs="Times New Roman"/>
          <w:sz w:val="27"/>
          <w:szCs w:val="27"/>
        </w:rPr>
        <w:t>,</w:t>
      </w:r>
      <w:r w:rsidRPr="001103C2">
        <w:rPr>
          <w:rFonts w:ascii="Times New Roman" w:hAnsi="Times New Roman" w:cs="Times New Roman"/>
          <w:sz w:val="27"/>
          <w:szCs w:val="27"/>
        </w:rPr>
        <w:t xml:space="preserve"> административная нагрузка на бизнес не снизилась, хотя</w:t>
      </w:r>
      <w:r w:rsidR="00065710">
        <w:rPr>
          <w:rFonts w:ascii="Times New Roman" w:hAnsi="Times New Roman" w:cs="Times New Roman"/>
          <w:sz w:val="27"/>
          <w:szCs w:val="27"/>
        </w:rPr>
        <w:t>,</w:t>
      </w:r>
      <w:r w:rsidRPr="001103C2">
        <w:rPr>
          <w:rFonts w:ascii="Times New Roman" w:hAnsi="Times New Roman" w:cs="Times New Roman"/>
          <w:sz w:val="27"/>
          <w:szCs w:val="27"/>
        </w:rPr>
        <w:t xml:space="preserve"> по </w:t>
      </w:r>
      <w:r w:rsidR="00176EC7" w:rsidRPr="001103C2">
        <w:rPr>
          <w:rFonts w:ascii="Times New Roman" w:hAnsi="Times New Roman" w:cs="Times New Roman"/>
          <w:sz w:val="27"/>
          <w:szCs w:val="27"/>
        </w:rPr>
        <w:t>информации</w:t>
      </w:r>
      <w:r w:rsidRPr="001103C2">
        <w:rPr>
          <w:rFonts w:ascii="Times New Roman" w:hAnsi="Times New Roman" w:cs="Times New Roman"/>
          <w:sz w:val="27"/>
          <w:szCs w:val="27"/>
        </w:rPr>
        <w:t xml:space="preserve"> органов власти</w:t>
      </w:r>
      <w:r w:rsidR="00065710">
        <w:rPr>
          <w:rFonts w:ascii="Times New Roman" w:hAnsi="Times New Roman" w:cs="Times New Roman"/>
          <w:sz w:val="27"/>
          <w:szCs w:val="27"/>
        </w:rPr>
        <w:t>,</w:t>
      </w:r>
      <w:r w:rsidRPr="001103C2">
        <w:rPr>
          <w:rFonts w:ascii="Times New Roman" w:hAnsi="Times New Roman" w:cs="Times New Roman"/>
          <w:sz w:val="27"/>
          <w:szCs w:val="27"/>
        </w:rPr>
        <w:t xml:space="preserve"> количество контрольных мероприятий сократилось. </w:t>
      </w:r>
      <w:r w:rsidR="00176EC7" w:rsidRPr="001103C2">
        <w:rPr>
          <w:rFonts w:ascii="Times New Roman" w:hAnsi="Times New Roman" w:cs="Times New Roman"/>
          <w:sz w:val="27"/>
          <w:szCs w:val="27"/>
        </w:rPr>
        <w:t>Он так</w:t>
      </w:r>
      <w:r w:rsidRPr="001103C2">
        <w:rPr>
          <w:rFonts w:ascii="Times New Roman" w:hAnsi="Times New Roman" w:cs="Times New Roman"/>
          <w:sz w:val="27"/>
          <w:szCs w:val="27"/>
        </w:rPr>
        <w:t xml:space="preserve">же подчеркнул, что </w:t>
      </w:r>
      <w:r w:rsidR="00065710">
        <w:rPr>
          <w:rFonts w:ascii="Times New Roman" w:hAnsi="Times New Roman" w:cs="Times New Roman"/>
          <w:sz w:val="27"/>
          <w:szCs w:val="27"/>
        </w:rPr>
        <w:t xml:space="preserve">после </w:t>
      </w:r>
      <w:r w:rsidRPr="001103C2">
        <w:rPr>
          <w:rFonts w:ascii="Times New Roman" w:hAnsi="Times New Roman" w:cs="Times New Roman"/>
          <w:sz w:val="27"/>
          <w:szCs w:val="27"/>
        </w:rPr>
        <w:t>перехода на риск</w:t>
      </w:r>
      <w:r w:rsidR="00065710">
        <w:rPr>
          <w:rFonts w:ascii="Times New Roman" w:hAnsi="Times New Roman" w:cs="Times New Roman"/>
          <w:sz w:val="27"/>
          <w:szCs w:val="27"/>
        </w:rPr>
        <w:t xml:space="preserve"> -</w:t>
      </w:r>
      <w:r w:rsidRPr="001103C2">
        <w:rPr>
          <w:rFonts w:ascii="Times New Roman" w:hAnsi="Times New Roman" w:cs="Times New Roman"/>
          <w:sz w:val="27"/>
          <w:szCs w:val="27"/>
        </w:rPr>
        <w:t xml:space="preserve"> ориентированный подход реформирование контрольно-надзорной деятельности должно происходить по таким направлениям</w:t>
      </w:r>
      <w:r w:rsidR="00065710">
        <w:rPr>
          <w:rFonts w:ascii="Times New Roman" w:hAnsi="Times New Roman" w:cs="Times New Roman"/>
          <w:sz w:val="27"/>
          <w:szCs w:val="27"/>
        </w:rPr>
        <w:t>, как</w:t>
      </w:r>
      <w:r w:rsidRPr="001103C2">
        <w:rPr>
          <w:rFonts w:ascii="Times New Roman" w:hAnsi="Times New Roman" w:cs="Times New Roman"/>
          <w:sz w:val="27"/>
          <w:szCs w:val="27"/>
        </w:rPr>
        <w:t xml:space="preserve"> развитие института саморегулирования, отказ от плановых проверок в отношении малого и среднего бизнеса, изменение и систематизация обязательных требований и др.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По словам М.А. 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Абызова</w:t>
      </w:r>
      <w:proofErr w:type="spellEnd"/>
      <w:r w:rsidR="001103C2" w:rsidRPr="001103C2">
        <w:rPr>
          <w:rFonts w:ascii="Times New Roman" w:hAnsi="Times New Roman" w:cs="Times New Roman"/>
          <w:sz w:val="27"/>
          <w:szCs w:val="27"/>
        </w:rPr>
        <w:t>,</w:t>
      </w:r>
      <w:r w:rsidRPr="001103C2">
        <w:rPr>
          <w:rFonts w:ascii="Times New Roman" w:hAnsi="Times New Roman" w:cs="Times New Roman"/>
          <w:sz w:val="27"/>
          <w:szCs w:val="27"/>
        </w:rPr>
        <w:t xml:space="preserve"> на сегодняшний день в России насчитывается более 250 тысяч контролеров, на содержание которых тратятся значительные средства. Систему контрольных органов необходимо менять, упразднять неэффективные ведомства, исключить «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задвоение</w:t>
      </w:r>
      <w:proofErr w:type="spellEnd"/>
      <w:r w:rsidRPr="001103C2">
        <w:rPr>
          <w:rFonts w:ascii="Times New Roman" w:hAnsi="Times New Roman" w:cs="Times New Roman"/>
          <w:sz w:val="27"/>
          <w:szCs w:val="27"/>
        </w:rPr>
        <w:t xml:space="preserve">» полномочий контрольных органов. Следует развивать </w:t>
      </w:r>
      <w:proofErr w:type="gramStart"/>
      <w:r w:rsidRPr="001103C2">
        <w:rPr>
          <w:rFonts w:ascii="Times New Roman" w:hAnsi="Times New Roman" w:cs="Times New Roman"/>
          <w:sz w:val="27"/>
          <w:szCs w:val="27"/>
        </w:rPr>
        <w:t>клиент-ориентированный</w:t>
      </w:r>
      <w:proofErr w:type="gramEnd"/>
      <w:r w:rsidRPr="001103C2">
        <w:rPr>
          <w:rFonts w:ascii="Times New Roman" w:hAnsi="Times New Roman" w:cs="Times New Roman"/>
          <w:sz w:val="27"/>
          <w:szCs w:val="27"/>
        </w:rPr>
        <w:t xml:space="preserve"> подход, когда сначала контролеры обучают, объясняют, снабжают предпринимателей необходимой информацией, а потом предъявляют требования.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Директор Юридического департамента ТПП РФ С.В. Васильев подчеркнул, что Палата принимает активное участие в работе над реформированием госконтроля и надзора. В сентябре т. г. был проведен опрос членской базы, в котором приняли участие около 100 респондентов из 28 </w:t>
      </w:r>
      <w:r w:rsidRPr="001103C2">
        <w:rPr>
          <w:rFonts w:ascii="Times New Roman" w:hAnsi="Times New Roman" w:cs="Times New Roman"/>
          <w:sz w:val="27"/>
          <w:szCs w:val="27"/>
        </w:rPr>
        <w:lastRenderedPageBreak/>
        <w:t xml:space="preserve">регионов России. Результаты проведенного анкетирования показали, что наибольшие трудности и существенное отвлечение трудовых и финансовых ресурсов влекут внеплановые выездные проверки, число которых в новом проекте закона о госконтроле расширено с 5 до 8, что значительно снижает гарантии защиты прав бизнеса. </w:t>
      </w:r>
      <w:proofErr w:type="gramStart"/>
      <w:r w:rsidRPr="001103C2">
        <w:rPr>
          <w:rFonts w:ascii="Times New Roman" w:hAnsi="Times New Roman" w:cs="Times New Roman"/>
          <w:sz w:val="27"/>
          <w:szCs w:val="27"/>
        </w:rPr>
        <w:t xml:space="preserve">Также среди основных болевых точек бизнеса были отмечены: несоблюдение установленных законом ограничений при проведении проверок (например, истребование документов и выявление нарушений, не относящихся к предмету проверки), предъявление требований к МСП со стороны проверяющих без учета их категорий и уровня развития, неиспользование механизма вынесения предупреждений в случае добросовестного исполнения предписаний и другие. </w:t>
      </w:r>
      <w:proofErr w:type="gramEnd"/>
    </w:p>
    <w:p w:rsidR="00065710" w:rsidRDefault="00176EC7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С.В. Васильев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отметил, что работа контролирующих органов должна строиться на уважении к бизнесу. Необходимо отказаться от «презумпции вины» и практики «максимальных наказаний» в пользу превентивных мер. Следует предусмотреть особые правила определения периодичности контроля в отношении добросовестных предпринимателей. Кроме того</w:t>
      </w:r>
      <w:r w:rsidR="00065710">
        <w:rPr>
          <w:rFonts w:ascii="Times New Roman" w:hAnsi="Times New Roman" w:cs="Times New Roman"/>
          <w:sz w:val="27"/>
          <w:szCs w:val="27"/>
        </w:rPr>
        <w:t>,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целесообразно провести работу по систематизации и сокращению проверяемых требований, а также создать единый государственный реестр таких требований. Необходимо установить механизмы правовой защиты прав подконтрольных лиц, а также развивать общественный контроль как помощь и альтернативу государственному контролю и сделать систему госконтроля наиболее прозрачной и открытой. </w:t>
      </w:r>
    </w:p>
    <w:p w:rsidR="00CD2170" w:rsidRPr="001103C2" w:rsidRDefault="0006571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подготовленный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Минэкономразвит</w:t>
      </w:r>
      <w:r>
        <w:rPr>
          <w:rFonts w:ascii="Times New Roman" w:hAnsi="Times New Roman" w:cs="Times New Roman"/>
          <w:sz w:val="27"/>
          <w:szCs w:val="27"/>
        </w:rPr>
        <w:t>ия России законопроект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«Об основах государственного и муниципального контроля (надзора)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>необходимо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дорабатывать. Для этого целесообразно перенести его внесение на рассмотрение </w:t>
      </w:r>
      <w:r w:rsidR="00176EC7" w:rsidRPr="001103C2">
        <w:rPr>
          <w:rFonts w:ascii="Times New Roman" w:hAnsi="Times New Roman" w:cs="Times New Roman"/>
          <w:sz w:val="27"/>
          <w:szCs w:val="27"/>
        </w:rPr>
        <w:t>П</w:t>
      </w:r>
      <w:r w:rsidR="00CD2170" w:rsidRPr="001103C2">
        <w:rPr>
          <w:rFonts w:ascii="Times New Roman" w:hAnsi="Times New Roman" w:cs="Times New Roman"/>
          <w:sz w:val="27"/>
          <w:szCs w:val="27"/>
        </w:rPr>
        <w:t>равительства</w:t>
      </w:r>
      <w:r w:rsidR="00176EC7" w:rsidRPr="001103C2">
        <w:rPr>
          <w:rFonts w:ascii="Times New Roman" w:hAnsi="Times New Roman" w:cs="Times New Roman"/>
          <w:sz w:val="27"/>
          <w:szCs w:val="27"/>
        </w:rPr>
        <w:t xml:space="preserve"> РФ</w:t>
      </w:r>
      <w:r w:rsidR="00CD2170" w:rsidRPr="001103C2">
        <w:rPr>
          <w:rFonts w:ascii="Times New Roman" w:hAnsi="Times New Roman" w:cs="Times New Roman"/>
          <w:sz w:val="27"/>
          <w:szCs w:val="27"/>
        </w:rPr>
        <w:t xml:space="preserve"> и Госдумы на середину 2016 года.</w:t>
      </w:r>
    </w:p>
    <w:p w:rsidR="00CD2170" w:rsidRPr="001103C2" w:rsidRDefault="00CD2170" w:rsidP="00CD21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Итоговая резолюция парламентских слушаний будет направлена в представительные и исполнительные органы власти для учета при формировании основных направлений развития системы госконтроля.</w:t>
      </w:r>
    </w:p>
    <w:p w:rsidR="00B64156" w:rsidRPr="001103C2" w:rsidRDefault="00B64156" w:rsidP="001103C2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B64156" w:rsidRPr="001103C2" w:rsidRDefault="00B64156" w:rsidP="00B6415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03C2">
        <w:rPr>
          <w:rFonts w:ascii="Times New Roman" w:hAnsi="Times New Roman" w:cs="Times New Roman"/>
          <w:b/>
          <w:sz w:val="27"/>
          <w:szCs w:val="27"/>
        </w:rPr>
        <w:t xml:space="preserve">Государственно-частное партнерство – новый этап взаимодействия бизнеса и государства </w:t>
      </w:r>
    </w:p>
    <w:p w:rsidR="00B64156" w:rsidRPr="001103C2" w:rsidRDefault="00B64156" w:rsidP="00B6415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12 октября</w:t>
      </w:r>
      <w:r w:rsidR="003D1CA6" w:rsidRPr="001103C2">
        <w:rPr>
          <w:rFonts w:ascii="Times New Roman" w:hAnsi="Times New Roman" w:cs="Times New Roman"/>
          <w:sz w:val="27"/>
          <w:szCs w:val="27"/>
        </w:rPr>
        <w:t xml:space="preserve"> </w:t>
      </w:r>
      <w:r w:rsidR="001103C2" w:rsidRPr="001103C2">
        <w:rPr>
          <w:rFonts w:ascii="Times New Roman" w:hAnsi="Times New Roman" w:cs="Times New Roman"/>
          <w:sz w:val="27"/>
          <w:szCs w:val="27"/>
        </w:rPr>
        <w:t xml:space="preserve">в Госдуме </w:t>
      </w:r>
      <w:r w:rsidR="003D1CA6" w:rsidRPr="001103C2">
        <w:rPr>
          <w:rFonts w:ascii="Times New Roman" w:hAnsi="Times New Roman" w:cs="Times New Roman"/>
          <w:sz w:val="27"/>
          <w:szCs w:val="27"/>
        </w:rPr>
        <w:t>с</w:t>
      </w:r>
      <w:r w:rsidR="001103C2" w:rsidRPr="001103C2">
        <w:rPr>
          <w:rFonts w:ascii="Times New Roman" w:hAnsi="Times New Roman" w:cs="Times New Roman"/>
          <w:sz w:val="27"/>
          <w:szCs w:val="27"/>
        </w:rPr>
        <w:t xml:space="preserve"> участием представителей ТПП РФ</w:t>
      </w:r>
      <w:r w:rsidRPr="001103C2">
        <w:rPr>
          <w:rFonts w:ascii="Times New Roman" w:hAnsi="Times New Roman" w:cs="Times New Roman"/>
          <w:sz w:val="27"/>
          <w:szCs w:val="27"/>
        </w:rPr>
        <w:t xml:space="preserve"> состоялись парламентские слушания на тему: «Перспективы и практические аспекты реализации Федерального закона № 224-ФЗ </w:t>
      </w:r>
      <w:r w:rsidRPr="001103C2">
        <w:rPr>
          <w:rFonts w:ascii="Times New Roman" w:hAnsi="Times New Roman" w:cs="Times New Roman"/>
          <w:sz w:val="27"/>
          <w:szCs w:val="27"/>
        </w:rPr>
        <w:br/>
        <w:t xml:space="preserve">«О государственно-частном партнерстве, 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1103C2">
        <w:rPr>
          <w:rFonts w:ascii="Times New Roman" w:hAnsi="Times New Roman" w:cs="Times New Roman"/>
          <w:sz w:val="27"/>
          <w:szCs w:val="27"/>
        </w:rPr>
        <w:t>-частном партнерстве в Российской Федерации и внесении изменений в отдельные законодатель</w:t>
      </w:r>
      <w:r w:rsidR="0090665A" w:rsidRPr="001103C2">
        <w:rPr>
          <w:rFonts w:ascii="Times New Roman" w:hAnsi="Times New Roman" w:cs="Times New Roman"/>
          <w:sz w:val="27"/>
          <w:szCs w:val="27"/>
        </w:rPr>
        <w:t>ные акты Российской Федерации»</w:t>
      </w:r>
      <w:r w:rsidR="00DC2A9D">
        <w:rPr>
          <w:rFonts w:ascii="Times New Roman" w:hAnsi="Times New Roman" w:cs="Times New Roman"/>
          <w:sz w:val="27"/>
          <w:szCs w:val="27"/>
        </w:rPr>
        <w:t xml:space="preserve"> (далее - Закон)</w:t>
      </w:r>
      <w:r w:rsidR="0090665A" w:rsidRPr="001103C2">
        <w:rPr>
          <w:rFonts w:ascii="Times New Roman" w:hAnsi="Times New Roman" w:cs="Times New Roman"/>
          <w:sz w:val="27"/>
          <w:szCs w:val="27"/>
        </w:rPr>
        <w:t xml:space="preserve">, который вступает в силу с </w:t>
      </w:r>
      <w:r w:rsidRPr="001103C2">
        <w:rPr>
          <w:rFonts w:ascii="Times New Roman" w:hAnsi="Times New Roman" w:cs="Times New Roman"/>
          <w:sz w:val="27"/>
          <w:szCs w:val="27"/>
        </w:rPr>
        <w:t xml:space="preserve">1 января 2016 года. </w:t>
      </w:r>
    </w:p>
    <w:p w:rsidR="00B64156" w:rsidRPr="001103C2" w:rsidRDefault="003D1CA6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Участники слушаний отметили, что д</w:t>
      </w:r>
      <w:r w:rsidR="001103C2" w:rsidRPr="001103C2">
        <w:rPr>
          <w:rFonts w:ascii="Times New Roman" w:hAnsi="Times New Roman" w:cs="Times New Roman"/>
          <w:sz w:val="27"/>
          <w:szCs w:val="27"/>
        </w:rPr>
        <w:t>анный З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акон в сегодняшних экономических реалиях чрезвычайно важен и своевременен. Закрыт </w:t>
      </w:r>
      <w:r w:rsidR="00B64156" w:rsidRPr="001103C2">
        <w:rPr>
          <w:rFonts w:ascii="Times New Roman" w:hAnsi="Times New Roman" w:cs="Times New Roman"/>
          <w:sz w:val="27"/>
          <w:szCs w:val="27"/>
        </w:rPr>
        <w:lastRenderedPageBreak/>
        <w:t>существенный пробел в законодательстве в части</w:t>
      </w:r>
      <w:r w:rsidR="00DC2A9D">
        <w:rPr>
          <w:rFonts w:ascii="Times New Roman" w:hAnsi="Times New Roman" w:cs="Times New Roman"/>
          <w:sz w:val="27"/>
          <w:szCs w:val="27"/>
        </w:rPr>
        <w:t xml:space="preserve"> правового регулирования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 государственно-частного партнерства (далее - ГЧП), что создает для потенциальных инвесторов правовую определенность и в конченом счете должно благотворно повлиять на инвестиционный климат в Российской Федерации, так как начинание поддержанное государством имеет больше шансов на реализацию.</w:t>
      </w:r>
    </w:p>
    <w:p w:rsidR="00B64156" w:rsidRPr="001103C2" w:rsidRDefault="00F677EC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Для государства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 реализация механизма ГЧП в рамках 224-ФЗ приведет к сокращению бюджетных расходов, а также снижению рисков замораживания и приостановки проектов в регионах.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Для бизнеса же основным фактором для принятия решения о вступлении в проект в рамках ГЧП будет возможность возникновения частной собственности на объект соглашения, что является принципиальным моментом для повышения надежности вложений инвестора. В рамках контракта между инвестором и публичным партнером будут нивелироваться риски в случае изменения макроэкономической ситуации или изменения законодательства. В рамках </w:t>
      </w:r>
      <w:r w:rsidR="00EB2842">
        <w:rPr>
          <w:rFonts w:ascii="Times New Roman" w:hAnsi="Times New Roman" w:cs="Times New Roman"/>
          <w:sz w:val="27"/>
          <w:szCs w:val="27"/>
        </w:rPr>
        <w:t xml:space="preserve">Федерального закона № </w:t>
      </w:r>
      <w:r w:rsidRPr="001103C2">
        <w:rPr>
          <w:rFonts w:ascii="Times New Roman" w:hAnsi="Times New Roman" w:cs="Times New Roman"/>
          <w:sz w:val="27"/>
          <w:szCs w:val="27"/>
        </w:rPr>
        <w:t xml:space="preserve">224-ФЗ также предусмотрена возможность 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1103C2">
        <w:rPr>
          <w:rFonts w:ascii="Times New Roman" w:hAnsi="Times New Roman" w:cs="Times New Roman"/>
          <w:sz w:val="27"/>
          <w:szCs w:val="27"/>
        </w:rPr>
        <w:t xml:space="preserve"> проекта за счет бюджетной субсидии.</w:t>
      </w:r>
    </w:p>
    <w:p w:rsidR="00B64156" w:rsidRPr="001103C2" w:rsidRDefault="00F677EC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Участники слушаний с положительной стороны </w:t>
      </w:r>
      <w:r w:rsidR="00065710">
        <w:rPr>
          <w:rFonts w:ascii="Times New Roman" w:hAnsi="Times New Roman" w:cs="Times New Roman"/>
          <w:sz w:val="27"/>
          <w:szCs w:val="27"/>
        </w:rPr>
        <w:t>оценили то</w:t>
      </w:r>
      <w:r w:rsidRPr="001103C2">
        <w:rPr>
          <w:rFonts w:ascii="Times New Roman" w:hAnsi="Times New Roman" w:cs="Times New Roman"/>
          <w:sz w:val="27"/>
          <w:szCs w:val="27"/>
        </w:rPr>
        <w:t>, что в</w:t>
      </w:r>
      <w:r w:rsidR="001103C2" w:rsidRPr="001103C2">
        <w:rPr>
          <w:rFonts w:ascii="Times New Roman" w:hAnsi="Times New Roman" w:cs="Times New Roman"/>
          <w:sz w:val="27"/>
          <w:szCs w:val="27"/>
        </w:rPr>
        <w:t xml:space="preserve"> рамках З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акона четко </w:t>
      </w:r>
      <w:r w:rsidRPr="001103C2">
        <w:rPr>
          <w:rFonts w:ascii="Times New Roman" w:hAnsi="Times New Roman" w:cs="Times New Roman"/>
          <w:sz w:val="27"/>
          <w:szCs w:val="27"/>
        </w:rPr>
        <w:t>установлено</w:t>
      </w:r>
      <w:r w:rsidR="00B64156" w:rsidRPr="001103C2">
        <w:rPr>
          <w:rFonts w:ascii="Times New Roman" w:hAnsi="Times New Roman" w:cs="Times New Roman"/>
          <w:sz w:val="27"/>
          <w:szCs w:val="27"/>
        </w:rPr>
        <w:t>, кто может быть частным и публичным партнером</w:t>
      </w:r>
      <w:r w:rsidR="00DC2A9D">
        <w:rPr>
          <w:rFonts w:ascii="Times New Roman" w:hAnsi="Times New Roman" w:cs="Times New Roman"/>
          <w:sz w:val="27"/>
          <w:szCs w:val="27"/>
        </w:rPr>
        <w:t>. Это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 создает условия привлечения именно частного капитала, а не мнимого государственно-частного партнерства</w:t>
      </w:r>
      <w:r w:rsidR="00DC2A9D">
        <w:rPr>
          <w:rFonts w:ascii="Times New Roman" w:hAnsi="Times New Roman" w:cs="Times New Roman"/>
          <w:sz w:val="27"/>
          <w:szCs w:val="27"/>
        </w:rPr>
        <w:t xml:space="preserve"> с привлечением экономических с</w:t>
      </w:r>
      <w:r w:rsidR="00EB2842">
        <w:rPr>
          <w:rFonts w:ascii="Times New Roman" w:hAnsi="Times New Roman" w:cs="Times New Roman"/>
          <w:sz w:val="27"/>
          <w:szCs w:val="27"/>
        </w:rPr>
        <w:t>т</w:t>
      </w:r>
      <w:r w:rsidR="00DC2A9D">
        <w:rPr>
          <w:rFonts w:ascii="Times New Roman" w:hAnsi="Times New Roman" w:cs="Times New Roman"/>
          <w:sz w:val="27"/>
          <w:szCs w:val="27"/>
        </w:rPr>
        <w:t>руктур, принадлежащих государству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, </w:t>
      </w:r>
      <w:r w:rsidR="00DC2A9D">
        <w:rPr>
          <w:rFonts w:ascii="Times New Roman" w:hAnsi="Times New Roman" w:cs="Times New Roman"/>
          <w:sz w:val="27"/>
          <w:szCs w:val="27"/>
        </w:rPr>
        <w:t>когда</w:t>
      </w:r>
      <w:r w:rsidR="00B64156" w:rsidRPr="001103C2">
        <w:rPr>
          <w:rFonts w:ascii="Times New Roman" w:hAnsi="Times New Roman" w:cs="Times New Roman"/>
          <w:sz w:val="27"/>
          <w:szCs w:val="27"/>
        </w:rPr>
        <w:t xml:space="preserve"> с обеих сторон </w:t>
      </w:r>
      <w:proofErr w:type="gramStart"/>
      <w:r w:rsidR="00B64156" w:rsidRPr="001103C2">
        <w:rPr>
          <w:rFonts w:ascii="Times New Roman" w:hAnsi="Times New Roman" w:cs="Times New Roman"/>
          <w:sz w:val="27"/>
          <w:szCs w:val="27"/>
        </w:rPr>
        <w:t>оказываются</w:t>
      </w:r>
      <w:proofErr w:type="gramEnd"/>
      <w:r w:rsidR="00B64156" w:rsidRPr="001103C2">
        <w:rPr>
          <w:rFonts w:ascii="Times New Roman" w:hAnsi="Times New Roman" w:cs="Times New Roman"/>
          <w:sz w:val="27"/>
          <w:szCs w:val="27"/>
        </w:rPr>
        <w:t xml:space="preserve"> задействованы бюджетные средства.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Большое внимание </w:t>
      </w:r>
      <w:r w:rsidR="00F677EC" w:rsidRPr="001103C2">
        <w:rPr>
          <w:rFonts w:ascii="Times New Roman" w:hAnsi="Times New Roman" w:cs="Times New Roman"/>
          <w:sz w:val="27"/>
          <w:szCs w:val="27"/>
        </w:rPr>
        <w:t xml:space="preserve">на слушаниях  было </w:t>
      </w:r>
      <w:r w:rsidRPr="001103C2">
        <w:rPr>
          <w:rFonts w:ascii="Times New Roman" w:hAnsi="Times New Roman" w:cs="Times New Roman"/>
          <w:sz w:val="27"/>
          <w:szCs w:val="27"/>
        </w:rPr>
        <w:t>уделено вопросам прозрачности и контроля</w:t>
      </w:r>
      <w:r w:rsidR="001103C2" w:rsidRPr="001103C2">
        <w:rPr>
          <w:rFonts w:ascii="Times New Roman" w:hAnsi="Times New Roman" w:cs="Times New Roman"/>
          <w:sz w:val="27"/>
          <w:szCs w:val="27"/>
        </w:rPr>
        <w:t xml:space="preserve"> -</w:t>
      </w:r>
      <w:r w:rsidRPr="001103C2">
        <w:rPr>
          <w:rFonts w:ascii="Times New Roman" w:hAnsi="Times New Roman" w:cs="Times New Roman"/>
          <w:sz w:val="27"/>
          <w:szCs w:val="27"/>
        </w:rPr>
        <w:t xml:space="preserve"> как на этапе создания, так и при реализации проекта (например, при выборе, оценке и утверждении проектов), а также разделению ответственности на всех стадиях проекта с целью пресечения коррупционной составляющей, предотвращения экономической неэффективности проект</w:t>
      </w:r>
      <w:r w:rsidR="00F677EC" w:rsidRPr="001103C2">
        <w:rPr>
          <w:rFonts w:ascii="Times New Roman" w:hAnsi="Times New Roman" w:cs="Times New Roman"/>
          <w:sz w:val="27"/>
          <w:szCs w:val="27"/>
        </w:rPr>
        <w:t>а</w:t>
      </w:r>
      <w:r w:rsidRPr="001103C2">
        <w:rPr>
          <w:rFonts w:ascii="Times New Roman" w:hAnsi="Times New Roman" w:cs="Times New Roman"/>
          <w:sz w:val="27"/>
          <w:szCs w:val="27"/>
        </w:rPr>
        <w:t>.</w:t>
      </w:r>
      <w:r w:rsidR="00166375" w:rsidRPr="001103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6375" w:rsidRPr="001103C2" w:rsidRDefault="00166375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 xml:space="preserve">В рамках обсуждения участники слушаний отметили ряд первоочередных </w:t>
      </w:r>
      <w:r w:rsidR="003917E8">
        <w:rPr>
          <w:rFonts w:ascii="Times New Roman" w:hAnsi="Times New Roman" w:cs="Times New Roman"/>
          <w:sz w:val="27"/>
          <w:szCs w:val="27"/>
        </w:rPr>
        <w:t>вопросов</w:t>
      </w:r>
      <w:r w:rsidRPr="001103C2">
        <w:rPr>
          <w:rFonts w:ascii="Times New Roman" w:hAnsi="Times New Roman" w:cs="Times New Roman"/>
          <w:sz w:val="27"/>
          <w:szCs w:val="27"/>
        </w:rPr>
        <w:t>, которые нуждаются в дополнительной проработке</w:t>
      </w:r>
      <w:r w:rsidR="003917E8">
        <w:rPr>
          <w:rFonts w:ascii="Times New Roman" w:hAnsi="Times New Roman" w:cs="Times New Roman"/>
          <w:sz w:val="27"/>
          <w:szCs w:val="27"/>
        </w:rPr>
        <w:t xml:space="preserve"> со стороны Минэкономразвития России</w:t>
      </w:r>
      <w:r w:rsidRPr="001103C2">
        <w:rPr>
          <w:rFonts w:ascii="Times New Roman" w:hAnsi="Times New Roman" w:cs="Times New Roman"/>
          <w:sz w:val="27"/>
          <w:szCs w:val="27"/>
        </w:rPr>
        <w:t>, а именно</w:t>
      </w:r>
      <w:r w:rsidR="00065710">
        <w:rPr>
          <w:rFonts w:ascii="Times New Roman" w:hAnsi="Times New Roman" w:cs="Times New Roman"/>
          <w:sz w:val="27"/>
          <w:szCs w:val="27"/>
        </w:rPr>
        <w:t>:</w:t>
      </w:r>
      <w:r w:rsidRPr="001103C2">
        <w:rPr>
          <w:rFonts w:ascii="Times New Roman" w:hAnsi="Times New Roman" w:cs="Times New Roman"/>
          <w:sz w:val="27"/>
          <w:szCs w:val="27"/>
        </w:rPr>
        <w:t xml:space="preserve"> возможность участия в проекте в качестве частного партнера иностранных юридических лиц, а также возможность расширения перечня объектов соглашений  (включение в список объектов водоснабжения и теплоснабжения).</w:t>
      </w:r>
    </w:p>
    <w:p w:rsidR="00166375" w:rsidRPr="001103C2" w:rsidRDefault="00166375" w:rsidP="00B6415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4156" w:rsidRPr="001103C2" w:rsidRDefault="003917E8" w:rsidP="00B6415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r w:rsidR="00B64156"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неуплату взносов на обязательное социальное страхование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</w:t>
      </w:r>
      <w:r w:rsidRPr="003917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ожет быть введена уголовная ответственность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Правительством РФ разработ</w:t>
      </w:r>
      <w:r w:rsidR="00CD2170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аны проекты федеральных законов,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</w:t>
      </w:r>
      <w:r w:rsidR="00CD2170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CD2170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введение уголовной ответственности за правонарушения, связанные с неуплатой страховых взносов, поскольку до отмены с 1 января 2010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года единого социального налога </w:t>
      </w:r>
      <w:r w:rsidR="00CD2170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неуплату данных платежей предусматривалось уголовное наказание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настоящее время в российском законодательстве не предусмотрена уголовная ответственность за уклонение от уплаты страховых взносов в государственные внебюджетные фонды и, по данным Минюста России, число правонарушений в данной сфере возрастает. 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законопроект дополняет статью 199.2 Уголовного кодекса РФ (УК РФ) положениями, предусматривающими ответственность за сокрытие денежных средств либо имущества, за счет которых должно производиться взыскание недоимки по страховым взносам. 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Наряду с этим разработчики дополняют УК РФ новыми статьями 199.3 и 199.4, устанавливающими ответственность за уклонение от уплаты страховых взносов для страхователей - физических лиц, уплачивающих страховые взносы только за себя (т.н. самозанятые) или за своих наемных работников, и организаций. Лицо, впервые совершившее преступление, предусмотренное данными статьями, освобождается от уголовной ответственности при условии полной уплаты сумм недоимки, пеней и штрафа в размере, предусмотренном законодательством РФ об обязательном социальном страховании.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199.3 УК РФ уголовная ответственность наступает для страхователей - физических лиц в случае, если доля неуплаченных страховых взносов превышает 10% подлежащих уплате сумм взносов и 600 тыс. рублей за три последних финансовых года в совокупности либо более 1 млн. 800 тыс. рублей. Особо крупным размером по данной статье является сумма, превышающая 20% подлежащих уплате сумм взносов, составляющая более 3 млн. рублей в пределах трех финансовых лет подряд либо превышающая 9 млн. рублей в абсолютном значении. 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199.4 УК РФ, предусматривающей уголовную ответственность за неуплату страховых взносов для организаций, размер крупного ущерба составит более 2 млн. рублей за три финансовых года подряд, если доля неуплаченных взносов превышает 10%, либо 6 млн. рублей в абсолютном значении. Особо крупным ущербом признается сумма более 10 млн. рублей за три финансовых года подряд, составляющая более 20% подлежащих уплате сумм, или 30 млн. рублей.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ТПП РФ не поддерживает законопрое</w:t>
      </w:r>
      <w:proofErr w:type="gramStart"/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кт в пр</w:t>
      </w:r>
      <w:proofErr w:type="gramEnd"/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едставленной редакции и предлагает его доработать с учетом следующего: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- крупный и особо крупный размер ущерба следует пересмотреть в сторону увеличения;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нецелесообразно применять к рассматриваемым составам такой вид наказания</w:t>
      </w:r>
      <w:r w:rsidR="000657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лишение свободы, поскольку данная мера не будет способствовать пополнению бюджета или компенсации ущерба вследствие уклонения от уплаты страховых взносов в государственные внебюджетные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фонды. Кроме того, осужденные содержатся в местах лишения свободы также за счет средств бюджета.</w:t>
      </w:r>
    </w:p>
    <w:p w:rsidR="00B64156" w:rsidRDefault="00B64156" w:rsidP="00B641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4DF9" w:rsidRDefault="00FA4DF9" w:rsidP="00B641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4DF9" w:rsidRPr="001103C2" w:rsidRDefault="00FA4DF9" w:rsidP="00B641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64156" w:rsidRPr="001103C2" w:rsidRDefault="00B64156" w:rsidP="00B641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Необоснованные ограничения по отношению к участникам закупок следует устранить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ТПП РФ разработан и направлен на </w:t>
      </w:r>
      <w:r w:rsidR="0090665A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отзыв в Правительство РФ проект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закона «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Федеральный закон                </w:t>
      </w:r>
      <w:r w:rsid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 закупках товаров, работ, услуг отдельными видами юридических лиц» (в части порядка опубликования положений о закупках и изменений в них)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 на ликвидацию дискриминации и необоснованных ограничений конкуренции по отношению к участникам закупок, осуществляемых в рамках Федерального закона от 18 июля</w:t>
      </w:r>
      <w:proofErr w:type="gramEnd"/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2011 г. № 223-ФЗ «О закупках товаров, работ, услуг отдельными видами юридических лиц» (далее – Федеральный закон </w:t>
      </w:r>
      <w:r w:rsid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№ 223-ФЗ).</w:t>
      </w:r>
    </w:p>
    <w:p w:rsidR="00B64156" w:rsidRPr="001103C2" w:rsidRDefault="00B64156" w:rsidP="001103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 Федерального закона № 223-ФЗ,   отдельные виды юридических лиц осуществляют закупки на основании разработанных и утвержденных ими правовых актов, регламентирующих правила закупки (далее – Положение о закупке).</w:t>
      </w:r>
      <w:r w:rsid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4 Федерального закона № 223-ФЗ П</w:t>
      </w:r>
      <w:r w:rsid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оложение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закупке и изменения в него подлежат обязательному размещению в единой информационной системе (далее - ЕИС) не позднее чем в течение пятнадцати дней со дня утверждения.</w:t>
      </w:r>
    </w:p>
    <w:p w:rsidR="00B64156" w:rsidRPr="001103C2" w:rsidRDefault="00B64156" w:rsidP="001103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Таким образом, Заказчик вправе утвердить Положение о закупке, которое сразу же вступает в силу, а </w:t>
      </w:r>
      <w:proofErr w:type="gramStart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разместить его</w:t>
      </w:r>
      <w:proofErr w:type="gramEnd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ЕИС (довести до ознакомления потенциальных участников закупки) через 15 дней.</w:t>
      </w:r>
      <w:r w:rsid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свою</w:t>
      </w:r>
      <w:r w:rsidR="0006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очередь, участники закупки, не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смотря на то, что на протяжении 15 дней, когда действует утвержденное, но не размещенное в ЕИС Положение о закупке,  не имеют доступа к нему, обязаны соблюдать требования, изложенные в нем. При этом заявки участников закупки, не соответствующие утвержденному, но не размещенному в ЕИС Положению о закупке, должны быть не допущены Заказчиком до торгов.</w:t>
      </w:r>
      <w:proofErr w:type="gramEnd"/>
      <w:r w:rsid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Законопроектом устанавливается отсрочка вступления в силу Положения о закупке.</w:t>
      </w:r>
      <w:r w:rsid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Так, в соответствии с законопроектом, Положение о закупке вступает в силу по истечении 20 дней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его размещения в ЕИС.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Предлагаемые изменения позволят участникам торгов заблаговременно ознакомиться с актуальным Положением о закупке и подготовить документы на участие в тендерах в соответствии с требованиями Заказчиков. </w:t>
      </w:r>
    </w:p>
    <w:p w:rsidR="001103C2" w:rsidRPr="001103C2" w:rsidRDefault="001103C2" w:rsidP="00B641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64156" w:rsidRPr="001103C2" w:rsidRDefault="003917E8" w:rsidP="00B641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Предложения</w:t>
      </w:r>
      <w:r w:rsidR="00B64156"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ТПП РФ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="00B64156"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поправка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B64156"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Град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остроительный </w:t>
      </w:r>
      <w:r w:rsidR="00B64156" w:rsidRPr="001103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кодекс РФ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поддержаны Правительством РФ</w:t>
      </w:r>
    </w:p>
    <w:p w:rsidR="00B64156" w:rsidRPr="001103C2" w:rsidRDefault="00B64156" w:rsidP="00B64156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03C2" w:rsidRDefault="00B64156" w:rsidP="00B64156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федерального закона «О внесении изменений в Градостроительный кодекс Российской Федерации» был разработан ТПП РФ </w:t>
      </w:r>
      <w:r w:rsidR="001103C2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обращениями бизнеса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направлен на устранение административных барьеров и на снижение издержек бизнеса</w:t>
      </w:r>
      <w:r w:rsidR="000657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</w:t>
      </w:r>
      <w:r w:rsidR="001103C2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занных с получением разрешения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строительство. </w:t>
      </w:r>
    </w:p>
    <w:p w:rsidR="00B64156" w:rsidRPr="001103C2" w:rsidRDefault="00B64156" w:rsidP="00B64156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ч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астью 7.1 статьи 51 Градостроительного кодекса РФ установлено, что </w:t>
      </w:r>
      <w:r w:rsidRPr="001103C2">
        <w:rPr>
          <w:rFonts w:ascii="Times New Roman" w:eastAsia="Calibri" w:hAnsi="Times New Roman" w:cs="Times New Roman"/>
          <w:sz w:val="27"/>
          <w:szCs w:val="27"/>
        </w:rPr>
        <w:t>документы, необходимые для получения разрешения на строительство запрашиваются органами, уполномоченными на выдачу разрешений на строительство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1103C2">
        <w:rPr>
          <w:rFonts w:ascii="Times New Roman" w:eastAsia="Calibri" w:hAnsi="Times New Roman" w:cs="Times New Roman"/>
          <w:sz w:val="27"/>
          <w:szCs w:val="27"/>
        </w:rPr>
        <w:t>, муниципальными правовыми актами, если застройщик не представил указанные документы самостоятельно.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eastAsia="MS ??" w:hAnsi="Times New Roman" w:cs="Times New Roman"/>
          <w:sz w:val="27"/>
          <w:szCs w:val="27"/>
        </w:rPr>
      </w:pPr>
      <w:r w:rsidRPr="001103C2">
        <w:rPr>
          <w:rFonts w:ascii="Times New Roman" w:eastAsia="MS ??" w:hAnsi="Times New Roman" w:cs="Times New Roman"/>
          <w:sz w:val="27"/>
          <w:szCs w:val="27"/>
        </w:rPr>
        <w:t>Таким образом, срок,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в течение которого должностные лица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органов, уполномоченных на выдачу разрешений на строительство должны запросить документы,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необходимые для выдачи разрешения на строительство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законодательном уровне не определен и регулируется большим количеством подзаконных актов, что порождает </w:t>
      </w:r>
      <w:r w:rsidRPr="001103C2">
        <w:rPr>
          <w:rFonts w:ascii="Times New Roman" w:eastAsia="MS ??" w:hAnsi="Times New Roman" w:cs="Times New Roman"/>
          <w:sz w:val="27"/>
          <w:szCs w:val="27"/>
        </w:rPr>
        <w:t>необоснованные административные задержки.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MS ??" w:hAnsi="Times New Roman" w:cs="Times New Roman"/>
          <w:sz w:val="27"/>
          <w:szCs w:val="27"/>
        </w:rPr>
        <w:t>В этой связи законопроектом предлагается установить трехдневный срок,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в течение которого должностные лица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органов, уполномоченных на выдачу разрешений на строительство, должны запросить в электронной форме документы, 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для выдачи разрешения на строительство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в соответствующих органах, в распоряжении которых находятся указанные документы.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Законопроектом предусматривается дополнение статьи 55 Градостроительного кодекса РФ частью 3.4, предусматривающей аналогичное требование в отношении установления трехдневного срока </w:t>
      </w:r>
      <w:r w:rsidRPr="001103C2">
        <w:rPr>
          <w:rFonts w:ascii="Times New Roman" w:eastAsia="MS ??" w:hAnsi="Times New Roman" w:cs="Times New Roman"/>
          <w:sz w:val="27"/>
          <w:szCs w:val="27"/>
        </w:rPr>
        <w:t xml:space="preserve">предоставления документов, необходимых для получения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разрешения на ввод объекта в эксплуатацию,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указанные документы. </w:t>
      </w:r>
      <w:r w:rsidRPr="001103C2">
        <w:rPr>
          <w:rFonts w:ascii="Times New Roman" w:eastAsia="MS ??" w:hAnsi="Times New Roman" w:cs="Times New Roman"/>
          <w:sz w:val="27"/>
          <w:szCs w:val="27"/>
        </w:rPr>
        <w:t>Данный срок в настоящее время Кодексом не установлен.</w:t>
      </w:r>
    </w:p>
    <w:p w:rsidR="00B64156" w:rsidRPr="001103C2" w:rsidRDefault="00B64156" w:rsidP="00B64156">
      <w:pPr>
        <w:spacing w:after="0"/>
        <w:ind w:firstLine="697"/>
        <w:jc w:val="both"/>
        <w:rPr>
          <w:rFonts w:ascii="Times New Roman" w:eastAsia="MS ??" w:hAnsi="Times New Roman" w:cs="Times New Roman"/>
          <w:sz w:val="27"/>
          <w:szCs w:val="27"/>
        </w:rPr>
      </w:pPr>
      <w:r w:rsidRPr="001103C2">
        <w:rPr>
          <w:rFonts w:ascii="Times New Roman" w:eastAsia="MS ??" w:hAnsi="Times New Roman" w:cs="Times New Roman"/>
          <w:sz w:val="27"/>
          <w:szCs w:val="27"/>
        </w:rPr>
        <w:t>Кроме того, законопроектом предусматривается внесение изменений в части 10 и 18 статьи 51 Градостроительного кодекса</w:t>
      </w: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03C2">
        <w:rPr>
          <w:rFonts w:ascii="Times New Roman" w:eastAsia="MS ??" w:hAnsi="Times New Roman" w:cs="Times New Roman"/>
          <w:sz w:val="27"/>
          <w:szCs w:val="27"/>
        </w:rPr>
        <w:t xml:space="preserve">РФ, устанавливающих возможность передачи застройщиком документов, необходимых для получения разрешения на строительство 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на электронном носителе информации. В настоящее время частью 10 статьи 51 Градостроительного кодекса Российской Федерации установлена возможность направления застройщиком документов, </w:t>
      </w:r>
      <w:r w:rsidRPr="001103C2">
        <w:rPr>
          <w:rFonts w:ascii="Times New Roman" w:eastAsia="MS Mincho" w:hAnsi="Times New Roman" w:cs="Times New Roman"/>
          <w:sz w:val="27"/>
          <w:szCs w:val="27"/>
          <w:lang w:eastAsia="ru-RU"/>
        </w:rPr>
        <w:lastRenderedPageBreak/>
        <w:t>необходимых для получения разрешения на строительство в электронном виде. В целях упрощения процесса получения разрешения на строительство законопроектом предлагается предусмотреть возможность передачи застройщиком указанных документов на электронном носителе информации.</w:t>
      </w:r>
    </w:p>
    <w:p w:rsidR="00B64156" w:rsidRPr="001103C2" w:rsidRDefault="00B64156" w:rsidP="00B64156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изменение позволит снизить издержки хозяйствующих субъектов, связанные с предоставлением указанных выше документов в бумажном виде. В ближайшее время законопроект планируется направить в Государственную Думу.</w:t>
      </w:r>
    </w:p>
    <w:p w:rsidR="00B64156" w:rsidRPr="001103C2" w:rsidRDefault="00B64156" w:rsidP="009F3FE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64156" w:rsidRPr="001103C2" w:rsidRDefault="00B64156" w:rsidP="00B641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03C2">
        <w:rPr>
          <w:rFonts w:ascii="Times New Roman" w:hAnsi="Times New Roman" w:cs="Times New Roman"/>
          <w:b/>
          <w:sz w:val="27"/>
          <w:szCs w:val="27"/>
        </w:rPr>
        <w:t xml:space="preserve">Госорганы </w:t>
      </w:r>
      <w:r w:rsidR="00176EC7" w:rsidRPr="001103C2">
        <w:rPr>
          <w:rFonts w:ascii="Times New Roman" w:hAnsi="Times New Roman" w:cs="Times New Roman"/>
          <w:b/>
          <w:sz w:val="27"/>
          <w:szCs w:val="27"/>
        </w:rPr>
        <w:t>получат новые функции по</w:t>
      </w:r>
      <w:r w:rsidRPr="001103C2">
        <w:rPr>
          <w:rFonts w:ascii="Times New Roman" w:hAnsi="Times New Roman" w:cs="Times New Roman"/>
          <w:b/>
          <w:sz w:val="27"/>
          <w:szCs w:val="27"/>
        </w:rPr>
        <w:t xml:space="preserve"> борьб</w:t>
      </w:r>
      <w:r w:rsidR="00176EC7" w:rsidRPr="001103C2">
        <w:rPr>
          <w:rFonts w:ascii="Times New Roman" w:hAnsi="Times New Roman" w:cs="Times New Roman"/>
          <w:b/>
          <w:sz w:val="27"/>
          <w:szCs w:val="27"/>
        </w:rPr>
        <w:t>е</w:t>
      </w:r>
      <w:r w:rsidRPr="001103C2">
        <w:rPr>
          <w:rFonts w:ascii="Times New Roman" w:hAnsi="Times New Roman" w:cs="Times New Roman"/>
          <w:b/>
          <w:sz w:val="27"/>
          <w:szCs w:val="27"/>
        </w:rPr>
        <w:t xml:space="preserve"> с</w:t>
      </w:r>
      <w:r w:rsidR="00176EC7" w:rsidRPr="001103C2">
        <w:rPr>
          <w:rFonts w:ascii="Times New Roman" w:hAnsi="Times New Roman" w:cs="Times New Roman"/>
          <w:b/>
          <w:sz w:val="27"/>
          <w:szCs w:val="27"/>
        </w:rPr>
        <w:t xml:space="preserve"> фирмами</w:t>
      </w:r>
      <w:r w:rsidRPr="001103C2">
        <w:rPr>
          <w:rFonts w:ascii="Times New Roman" w:hAnsi="Times New Roman" w:cs="Times New Roman"/>
          <w:b/>
          <w:sz w:val="27"/>
          <w:szCs w:val="27"/>
        </w:rPr>
        <w:t xml:space="preserve"> однодневками</w:t>
      </w:r>
    </w:p>
    <w:p w:rsidR="00EF28E2" w:rsidRPr="001103C2" w:rsidRDefault="00EF28E2" w:rsidP="00B6415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6 октября 2015 года состоялось очередное заседание Экспертного совета ТПП РФ по совершенствованию налогового законодательства и правоприменительной практики. </w:t>
      </w:r>
      <w:proofErr w:type="gramStart"/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В нем приняли участие 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В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ице-президент ТПП РФ, 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П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редседатель Совета В.В. Чубаров, аудитор Счетной палаты РФ 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          </w:t>
      </w:r>
      <w:r w:rsidR="001103C2">
        <w:rPr>
          <w:rFonts w:ascii="Times New Roman" w:eastAsia="Arial Unicode MS" w:hAnsi="Times New Roman" w:cs="Times New Roman"/>
          <w:sz w:val="27"/>
          <w:szCs w:val="27"/>
        </w:rPr>
        <w:t xml:space="preserve">     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С.И. </w:t>
      </w:r>
      <w:proofErr w:type="spellStart"/>
      <w:r w:rsidRPr="001103C2">
        <w:rPr>
          <w:rFonts w:ascii="Times New Roman" w:eastAsia="Arial Unicode MS" w:hAnsi="Times New Roman" w:cs="Times New Roman"/>
          <w:sz w:val="27"/>
          <w:szCs w:val="27"/>
        </w:rPr>
        <w:t>Штогрин</w:t>
      </w:r>
      <w:proofErr w:type="spellEnd"/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, общественный бизнес-омбудсмен по налогам, председатель Экспертного совета по налоговому законодательству Комитета по бюджету и налогам Государственной Думы ФС РФ М.Ю. Орлов, 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начальник Управления досудебного урегулирования налоговых споров ФНС России Е.В. Суворова и ее заместитель Д.М. Казанский, 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Н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ачальник Правового</w:t>
      </w:r>
      <w:proofErr w:type="gramEnd"/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управления ФНС России О.В. Овчар и др.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1103C2">
        <w:rPr>
          <w:rFonts w:ascii="Times New Roman" w:eastAsia="Arial Unicode MS" w:hAnsi="Times New Roman" w:cs="Times New Roman"/>
          <w:sz w:val="27"/>
          <w:szCs w:val="27"/>
        </w:rPr>
        <w:t>Открывая мероприятие, В.В. Чубаров отметил, что основным вопросом повестки заседания будет значимый для государства и бизнеса законопроект №529775-6 о злоупотреблении правом налогоплательщиками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. П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ринятый в первом чтении Госдумой проект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, по его словам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имеет большие шансы на принятие, но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вместе с тем, данная инициатива требует серьезной доработки и общественного обсуждения.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Начальник отдела налоговой защиты и </w:t>
      </w:r>
      <w:proofErr w:type="spellStart"/>
      <w:r w:rsidRPr="001103C2">
        <w:rPr>
          <w:rFonts w:ascii="Times New Roman" w:eastAsia="Arial Unicode MS" w:hAnsi="Times New Roman" w:cs="Times New Roman"/>
          <w:sz w:val="27"/>
          <w:szCs w:val="27"/>
        </w:rPr>
        <w:t>комплаенса</w:t>
      </w:r>
      <w:proofErr w:type="spellEnd"/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Аэропорта «Домодедово» 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А.В. Рязанова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высказала основные опасения бизнеса по указанному законопроекту. Она указала, что сложившаяся судебная практика не ставит во главу угла только правильность составления документов и требует со стороны налоговых органов представлен</w:t>
      </w:r>
      <w:r w:rsidR="0090665A" w:rsidRPr="001103C2">
        <w:rPr>
          <w:rFonts w:ascii="Times New Roman" w:eastAsia="Arial Unicode MS" w:hAnsi="Times New Roman" w:cs="Times New Roman"/>
          <w:sz w:val="27"/>
          <w:szCs w:val="27"/>
        </w:rPr>
        <w:t>ия дополнительных доказатель</w:t>
      </w:r>
      <w:proofErr w:type="gramStart"/>
      <w:r w:rsidR="0090665A" w:rsidRPr="001103C2">
        <w:rPr>
          <w:rFonts w:ascii="Times New Roman" w:eastAsia="Arial Unicode MS" w:hAnsi="Times New Roman" w:cs="Times New Roman"/>
          <w:sz w:val="27"/>
          <w:szCs w:val="27"/>
        </w:rPr>
        <w:t xml:space="preserve">ств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дл</w:t>
      </w:r>
      <w:proofErr w:type="gramEnd"/>
      <w:r w:rsidRPr="001103C2">
        <w:rPr>
          <w:rFonts w:ascii="Times New Roman" w:eastAsia="Arial Unicode MS" w:hAnsi="Times New Roman" w:cs="Times New Roman"/>
          <w:sz w:val="27"/>
          <w:szCs w:val="27"/>
        </w:rPr>
        <w:t>я подт</w:t>
      </w:r>
      <w:r w:rsidR="0090665A" w:rsidRPr="001103C2">
        <w:rPr>
          <w:rFonts w:ascii="Times New Roman" w:eastAsia="Arial Unicode MS" w:hAnsi="Times New Roman" w:cs="Times New Roman"/>
          <w:sz w:val="27"/>
          <w:szCs w:val="27"/>
        </w:rPr>
        <w:t xml:space="preserve">верждения факта злоупотребления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налогоплательщиком. Вместе с тем, проектируемые изменения в Налоговый кодекс полностью ломают эту практику, предоставляя право налоговикам отказывать в возмещении НДС и учете расходов по налогу на прибыль лишь по формальным обстоятельствам, например, когда документы подписывает неуполномоченное лицо, хотя сама хозяйственная операция </w:t>
      </w:r>
      <w:r w:rsidR="003917E8">
        <w:rPr>
          <w:rFonts w:ascii="Times New Roman" w:eastAsia="Arial Unicode MS" w:hAnsi="Times New Roman" w:cs="Times New Roman"/>
          <w:sz w:val="27"/>
          <w:szCs w:val="27"/>
        </w:rPr>
        <w:t>действительно осуществлялась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. Она предложила дополнить законопроект положениями, исходя из которых</w:t>
      </w:r>
      <w:r w:rsidR="0090665A" w:rsidRPr="001103C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можно было бы явно уследить умысел лица на участие в «схеме». </w:t>
      </w:r>
    </w:p>
    <w:p w:rsidR="00B64156" w:rsidRPr="001103C2" w:rsidRDefault="00B64156" w:rsidP="00B6415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1103C2">
        <w:rPr>
          <w:rFonts w:ascii="Times New Roman" w:eastAsia="Arial Unicode MS" w:hAnsi="Times New Roman" w:cs="Times New Roman"/>
          <w:sz w:val="27"/>
          <w:szCs w:val="27"/>
        </w:rPr>
        <w:lastRenderedPageBreak/>
        <w:t>Представители ФНС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 xml:space="preserve"> России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указали, что в проект заложены только общие нормы, которые позволят в рамках действующих процедур налогового контроля упростить факт доказывания злоупотреблений. По словам Е.В. Суворовой</w:t>
      </w:r>
      <w:r w:rsidR="001103C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добросовестных налогоплательщиков указанные изменения не коснутся. </w:t>
      </w:r>
    </w:p>
    <w:p w:rsidR="00B64156" w:rsidRPr="001103C2" w:rsidRDefault="00B64156" w:rsidP="001103C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Многие эксперты </w:t>
      </w:r>
      <w:r w:rsidR="00176EC7" w:rsidRPr="001103C2">
        <w:rPr>
          <w:rFonts w:ascii="Times New Roman" w:eastAsia="Arial Unicode MS" w:hAnsi="Times New Roman" w:cs="Times New Roman"/>
          <w:sz w:val="27"/>
          <w:szCs w:val="27"/>
        </w:rPr>
        <w:t>в ходе заседания отметили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, что принятие законопроекта приведет к увеличению административных издержек бизнеса, поскольку налогоплательщики вынуждены будут проверять всех своих контрагентов. Фактически налоговые органы перекладывают на налогоплательщиков свои обязанности.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По словам М.Ю. Орлова, в первом чтении принимался не столько законопроект, сколько концепция о злоупотреблении. Сделано это было для того, чтобы подтолкнуть чиновников и предпринимателей к диалогу на эту тему. В целом он поддержал высказанные ранее предложения о необходимости исходить из целеполагания при установлении факта злоупотребления.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По итогам обсуждения законопроекта было принято решение подготовить дополнительные предложения по поправкам к законопроекту и направить их в Комитет Госдумы по бюджету и налогам.</w:t>
      </w:r>
    </w:p>
    <w:p w:rsidR="00B64156" w:rsidRPr="001103C2" w:rsidRDefault="00B64156" w:rsidP="001103C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7"/>
          <w:szCs w:val="27"/>
        </w:rPr>
      </w:pPr>
      <w:proofErr w:type="gramStart"/>
      <w:r w:rsidRPr="001103C2">
        <w:rPr>
          <w:rFonts w:ascii="Times New Roman" w:eastAsia="Arial Unicode MS" w:hAnsi="Times New Roman" w:cs="Times New Roman"/>
          <w:sz w:val="27"/>
          <w:szCs w:val="27"/>
        </w:rPr>
        <w:t>По второму вопросу повестки дня выступила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Директор по налогам «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Tele2 </w:t>
      </w:r>
      <w:proofErr w:type="spellStart"/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>Russia</w:t>
      </w:r>
      <w:proofErr w:type="spellEnd"/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» С.Ю. </w:t>
      </w:r>
      <w:proofErr w:type="spellStart"/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>Тараева</w:t>
      </w:r>
      <w:proofErr w:type="spellEnd"/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которая представила новый проект закона в части льгот по налогу на имущество в отношении имущества, принятого на учёт после 1 января 2013 г. Она отметила, что отмена освобождения от налога движимого имущества с 1 января 2015 года привела к тому, что пострадали добросовестные налогоплательщики, которые пользуются</w:t>
      </w:r>
      <w:proofErr w:type="gramEnd"/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централизованной закупкой, </w:t>
      </w:r>
      <w:r w:rsidR="009F3FEE" w:rsidRPr="001103C2">
        <w:rPr>
          <w:rFonts w:ascii="Times New Roman" w:eastAsia="Arial Unicode MS" w:hAnsi="Times New Roman" w:cs="Times New Roman"/>
          <w:sz w:val="27"/>
          <w:szCs w:val="27"/>
        </w:rPr>
        <w:t>проводят реальную реорганизацию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 xml:space="preserve"> без цели налоговой оптимизации и др. Вместо этой нормы была введена налоговая льгота, которой не могут воспользоваться взаимозависимые лица. Наличие такой проблемы подтвердила и Е.В. Прокофьева, Руководитель направления налогового права ОАО «</w:t>
      </w:r>
      <w:proofErr w:type="spellStart"/>
      <w:r w:rsidRPr="001103C2">
        <w:rPr>
          <w:rFonts w:ascii="Times New Roman" w:eastAsia="Arial Unicode MS" w:hAnsi="Times New Roman" w:cs="Times New Roman"/>
          <w:sz w:val="27"/>
          <w:szCs w:val="27"/>
        </w:rPr>
        <w:t>ИнтерРАО</w:t>
      </w:r>
      <w:proofErr w:type="spellEnd"/>
      <w:r w:rsidRPr="001103C2">
        <w:rPr>
          <w:rFonts w:ascii="Times New Roman" w:eastAsia="Arial Unicode MS" w:hAnsi="Times New Roman" w:cs="Times New Roman"/>
          <w:sz w:val="27"/>
          <w:szCs w:val="27"/>
        </w:rPr>
        <w:t>». Она предложила вернуть освобождение хотя бы в отношении нового имущества, иначе получается, что действующие нормы Налогового кодекса РФ ставят в неравное положение субъектов предпринимательства.</w:t>
      </w:r>
      <w:r w:rsidR="001103C2" w:rsidRPr="001103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1103C2">
        <w:rPr>
          <w:rFonts w:ascii="Times New Roman" w:eastAsia="Arial Unicode MS" w:hAnsi="Times New Roman" w:cs="Times New Roman"/>
          <w:sz w:val="27"/>
          <w:szCs w:val="27"/>
        </w:rPr>
        <w:t>По итогам обсуждения было принято решение направить предложенный проект изменений в Налоговый кодекс в Минфин России на отзыв.</w:t>
      </w:r>
    </w:p>
    <w:p w:rsidR="009F3FEE" w:rsidRPr="001103C2" w:rsidRDefault="009F3FEE" w:rsidP="00B641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64156" w:rsidRPr="001103C2" w:rsidRDefault="00B64156" w:rsidP="00B641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Коротко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bookmarkStart w:id="0" w:name="_GoBack"/>
      <w:proofErr w:type="gramStart"/>
      <w:r w:rsidRPr="001103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октября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Правительством Российской Федерации внесен в Государственную Думу проект федерального закона </w:t>
      </w:r>
      <w:r w:rsidR="00130321" w:rsidRPr="001103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897434-6,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предусматрива</w:t>
      </w:r>
      <w:r w:rsidR="00130321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ющий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сохранение на период до 2018 года включительно действующих пониженных тарифов страховых взносов в государственные внебюджетные фонды - для основной массы плательщиков в размере 30,0 % (22,0% - в Пенсионный фонд РФ в пределах установленной величины базы для начисления страховых взносов, 2,9% - в Фонд социального страхования РФ в пределах установленной</w:t>
      </w:r>
      <w:proofErr w:type="gramEnd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величины базы для начисления страховых взносов, 5,1%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- в Федеральный фонд обязательного медицинского страхования) и в размере 10,0 % в бюджет Пенсионного фонда РФ сверх установленной предельной величины базы для начисления страховых взносов.</w:t>
      </w:r>
    </w:p>
    <w:p w:rsidR="00B64156" w:rsidRPr="001103C2" w:rsidRDefault="00B64156" w:rsidP="00B641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 октября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Государственной Думой принят в первом чтении проект</w:t>
      </w:r>
      <w:r w:rsidR="00130321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федерального закона № 848346-6, 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уточн</w:t>
      </w:r>
      <w:r w:rsidR="00130321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яющий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поряд</w:t>
      </w:r>
      <w:r w:rsidR="00130321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внесения изменений в законодательство Российской Федерации о страховых взносах в гос</w:t>
      </w:r>
      <w:r w:rsidR="00130321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ударственные внебюджетные фонды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внесенный Правительством РФ. Законопроект предусматривает, что внесение изменений в указанный Федеральный закон, а также приостановление действия или признание утратившими силу его положений </w:t>
      </w:r>
      <w:proofErr w:type="gramStart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может</w:t>
      </w:r>
      <w:proofErr w:type="gramEnd"/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осуществляется только отдельными федеральными законами. Это позволит в дальнейшем избежать при принятии комплексных законодательных актов РФ внесения изменений в тарифы взносов на обязательное социальное страхование. Законопроект поддержан всеми ст</w:t>
      </w:r>
      <w:r w:rsidR="009F3FEE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оронами социального партнерства, в</w:t>
      </w:r>
      <w:r w:rsidR="00FA4DF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том числе</w:t>
      </w:r>
      <w:r w:rsidR="009F3FEE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ТПП РФ.</w:t>
      </w:r>
    </w:p>
    <w:p w:rsidR="009F3FEE" w:rsidRPr="001103C2" w:rsidRDefault="001103C2" w:rsidP="00B641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октябре</w:t>
      </w:r>
      <w:r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F3FEE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Министерством экономического развития Российской Федерации разработан проект приказа «Об установлении коэффициентов – дефляторов на 2016 год». Так, например, документ предусматривает, что для исчисления и уплаты налога по упрощенной системе налогообложения коэффициент будет равен – 1,329 (сейчас – 1,147), в целях применения единого налога на вмененный доход – 2,083 (сейчас – 1,798), в целях применения патентной системы налогообложения – 1,329 (сейчас – 1,147). Кроме того</w:t>
      </w:r>
      <w:r w:rsidR="0006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9F3FEE" w:rsidRPr="001103C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будет установлен коэффициент-дефлятор для уплаты торгового сбора – 1,154. Указанные изменения приведут к увеличению налоговых издержек предпринимателей. Проект прорабатывается ТПП РФ.</w:t>
      </w:r>
    </w:p>
    <w:p w:rsidR="001103C2" w:rsidRPr="001103C2" w:rsidRDefault="001103C2" w:rsidP="001103C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b/>
          <w:sz w:val="27"/>
          <w:szCs w:val="27"/>
        </w:rPr>
        <w:t>23 октября</w:t>
      </w:r>
      <w:r w:rsidRPr="001103C2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1103C2">
        <w:rPr>
          <w:rFonts w:ascii="Times New Roman" w:hAnsi="Times New Roman" w:cs="Times New Roman"/>
          <w:sz w:val="27"/>
          <w:szCs w:val="27"/>
        </w:rPr>
        <w:t>Минпромторге</w:t>
      </w:r>
      <w:proofErr w:type="spellEnd"/>
      <w:r w:rsidRPr="001103C2">
        <w:rPr>
          <w:rFonts w:ascii="Times New Roman" w:hAnsi="Times New Roman" w:cs="Times New Roman"/>
          <w:sz w:val="27"/>
          <w:szCs w:val="27"/>
        </w:rPr>
        <w:t xml:space="preserve"> России состоялось заседание Рабочей группы, на которой рассматривался вопрос о создании Совета по промышленной политике при Президенте Российской Федерации. Предложение ТПП РФ о том, что</w:t>
      </w:r>
      <w:r w:rsidR="00065710">
        <w:rPr>
          <w:rFonts w:ascii="Times New Roman" w:hAnsi="Times New Roman" w:cs="Times New Roman"/>
          <w:sz w:val="27"/>
          <w:szCs w:val="27"/>
        </w:rPr>
        <w:t>бы</w:t>
      </w:r>
      <w:r w:rsidRPr="001103C2">
        <w:rPr>
          <w:rFonts w:ascii="Times New Roman" w:hAnsi="Times New Roman" w:cs="Times New Roman"/>
          <w:sz w:val="27"/>
          <w:szCs w:val="27"/>
        </w:rPr>
        <w:t xml:space="preserve"> в состав такого Совета </w:t>
      </w:r>
      <w:r w:rsidR="00065710">
        <w:rPr>
          <w:rFonts w:ascii="Times New Roman" w:hAnsi="Times New Roman" w:cs="Times New Roman"/>
          <w:sz w:val="27"/>
          <w:szCs w:val="27"/>
        </w:rPr>
        <w:t>вышли</w:t>
      </w:r>
      <w:r w:rsidRPr="001103C2">
        <w:rPr>
          <w:rFonts w:ascii="Times New Roman" w:hAnsi="Times New Roman" w:cs="Times New Roman"/>
          <w:sz w:val="27"/>
          <w:szCs w:val="27"/>
        </w:rPr>
        <w:t xml:space="preserve">  представители крупнейших объединений предпринимателей, было поддержано. </w:t>
      </w:r>
    </w:p>
    <w:bookmarkEnd w:id="0"/>
    <w:p w:rsidR="00B64156" w:rsidRPr="001103C2" w:rsidRDefault="00B64156" w:rsidP="00B641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17EA2" w:rsidRPr="001103C2" w:rsidRDefault="00317EA2" w:rsidP="00B64156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sectPr w:rsidR="00317EA2" w:rsidRPr="001103C2" w:rsidSect="00317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B8" w:rsidRDefault="00217EB8" w:rsidP="005F043F">
      <w:pPr>
        <w:spacing w:after="0" w:line="240" w:lineRule="auto"/>
      </w:pPr>
      <w:r>
        <w:separator/>
      </w:r>
    </w:p>
  </w:endnote>
  <w:endnote w:type="continuationSeparator" w:id="0">
    <w:p w:rsidR="00217EB8" w:rsidRDefault="00217EB8" w:rsidP="005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B8" w:rsidRDefault="00217EB8" w:rsidP="005F043F">
      <w:pPr>
        <w:spacing w:after="0" w:line="240" w:lineRule="auto"/>
      </w:pPr>
      <w:r>
        <w:separator/>
      </w:r>
    </w:p>
  </w:footnote>
  <w:footnote w:type="continuationSeparator" w:id="0">
    <w:p w:rsidR="00217EB8" w:rsidRDefault="00217EB8" w:rsidP="005F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331992"/>
      <w:docPartObj>
        <w:docPartGallery w:val="Page Numbers (Top of Page)"/>
        <w:docPartUnique/>
      </w:docPartObj>
    </w:sdtPr>
    <w:sdtEndPr/>
    <w:sdtContent>
      <w:p w:rsidR="005F043F" w:rsidRDefault="005F04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39">
          <w:rPr>
            <w:noProof/>
          </w:rPr>
          <w:t>2</w:t>
        </w:r>
        <w:r>
          <w:fldChar w:fldCharType="end"/>
        </w:r>
      </w:p>
    </w:sdtContent>
  </w:sdt>
  <w:p w:rsidR="005F043F" w:rsidRDefault="005F04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7"/>
    <w:rsid w:val="00030249"/>
    <w:rsid w:val="00065710"/>
    <w:rsid w:val="001103C2"/>
    <w:rsid w:val="00130321"/>
    <w:rsid w:val="00166375"/>
    <w:rsid w:val="00176EC7"/>
    <w:rsid w:val="00217EB8"/>
    <w:rsid w:val="0029090C"/>
    <w:rsid w:val="00315D16"/>
    <w:rsid w:val="00317EA2"/>
    <w:rsid w:val="003917E8"/>
    <w:rsid w:val="003D1CA6"/>
    <w:rsid w:val="003D4006"/>
    <w:rsid w:val="00415D39"/>
    <w:rsid w:val="00470536"/>
    <w:rsid w:val="005127BD"/>
    <w:rsid w:val="005F043F"/>
    <w:rsid w:val="007567BA"/>
    <w:rsid w:val="007C7CDB"/>
    <w:rsid w:val="00880836"/>
    <w:rsid w:val="0090665A"/>
    <w:rsid w:val="009F3FEE"/>
    <w:rsid w:val="00A1399F"/>
    <w:rsid w:val="00A87F4D"/>
    <w:rsid w:val="00AC1D76"/>
    <w:rsid w:val="00AD1A64"/>
    <w:rsid w:val="00B64156"/>
    <w:rsid w:val="00BA0935"/>
    <w:rsid w:val="00C74C09"/>
    <w:rsid w:val="00C908E6"/>
    <w:rsid w:val="00CB769C"/>
    <w:rsid w:val="00CD2170"/>
    <w:rsid w:val="00D53C1E"/>
    <w:rsid w:val="00DC2A9D"/>
    <w:rsid w:val="00E22437"/>
    <w:rsid w:val="00E25549"/>
    <w:rsid w:val="00EB2842"/>
    <w:rsid w:val="00EF28E2"/>
    <w:rsid w:val="00F02527"/>
    <w:rsid w:val="00F677EC"/>
    <w:rsid w:val="00FA4DF9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5F043F"/>
    <w:pPr>
      <w:spacing w:after="60" w:line="259" w:lineRule="auto"/>
      <w:ind w:right="-288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rsid w:val="005F043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43F"/>
  </w:style>
  <w:style w:type="paragraph" w:styleId="a5">
    <w:name w:val="footer"/>
    <w:basedOn w:val="a"/>
    <w:link w:val="a6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5F043F"/>
    <w:pPr>
      <w:spacing w:after="60" w:line="259" w:lineRule="auto"/>
      <w:ind w:right="-288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rsid w:val="005F043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43F"/>
  </w:style>
  <w:style w:type="paragraph" w:styleId="a5">
    <w:name w:val="footer"/>
    <w:basedOn w:val="a"/>
    <w:link w:val="a6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1729-E397-49F0-884F-33577634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</dc:creator>
  <cp:lastModifiedBy>We Are</cp:lastModifiedBy>
  <cp:revision>2</cp:revision>
  <cp:lastPrinted>2015-11-10T14:16:00Z</cp:lastPrinted>
  <dcterms:created xsi:type="dcterms:W3CDTF">2015-11-19T11:22:00Z</dcterms:created>
  <dcterms:modified xsi:type="dcterms:W3CDTF">2015-11-19T11:22:00Z</dcterms:modified>
</cp:coreProperties>
</file>